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楷体_GB2312" w:hAnsi="楷体" w:eastAsia="楷体_GB2312" w:cs="楷体"/>
          <w:b/>
          <w:bCs/>
          <w:color w:val="000000"/>
          <w:sz w:val="30"/>
          <w:szCs w:val="30"/>
        </w:rPr>
      </w:pPr>
      <w:r>
        <w:rPr>
          <w:rFonts w:hint="eastAsia" w:ascii="楷体_GB2312" w:hAnsi="楷体" w:eastAsia="楷体_GB2312" w:cs="楷体"/>
          <w:b/>
          <w:bCs/>
          <w:color w:val="000000"/>
          <w:sz w:val="30"/>
          <w:szCs w:val="30"/>
        </w:rPr>
        <w:t>《跨国公司财务管理》考试大纲</w:t>
      </w:r>
    </w:p>
    <w:p>
      <w:pPr>
        <w:keepNext w:val="0"/>
        <w:keepLines w:val="0"/>
        <w:pageBreakBefore w:val="0"/>
        <w:widowControl w:val="0"/>
        <w:kinsoku/>
        <w:wordWrap/>
        <w:overflowPunct/>
        <w:topLinePunct w:val="0"/>
        <w:autoSpaceDE w:val="0"/>
        <w:autoSpaceDN w:val="0"/>
        <w:bidi w:val="0"/>
        <w:adjustRightInd/>
        <w:snapToGrid w:val="0"/>
        <w:spacing w:line="360" w:lineRule="exact"/>
        <w:ind w:firstLine="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sz w:val="24"/>
          <w:szCs w:val="24"/>
        </w:rPr>
        <w:t>一</w:t>
      </w:r>
      <w:r>
        <w:rPr>
          <w:rFonts w:hint="eastAsia" w:ascii="宋体" w:hAnsi="宋体" w:eastAsia="宋体" w:cs="宋体"/>
          <w:b/>
          <w:color w:val="000000" w:themeColor="text1"/>
          <w:sz w:val="24"/>
          <w:szCs w:val="24"/>
          <w14:textFill>
            <w14:solidFill>
              <w14:schemeClr w14:val="tx1"/>
            </w14:solidFill>
          </w14:textFill>
        </w:rPr>
        <w:t>、判断题</w:t>
      </w:r>
    </w:p>
    <w:p>
      <w:pPr>
        <w:keepNext w:val="0"/>
        <w:keepLines w:val="0"/>
        <w:pageBreakBefore w:val="0"/>
        <w:widowControl w:val="0"/>
        <w:kinsoku/>
        <w:wordWrap/>
        <w:overflowPunct/>
        <w:topLinePunct w:val="0"/>
        <w:autoSpaceDE w:val="0"/>
        <w:autoSpaceDN w:val="0"/>
        <w:bidi w:val="0"/>
        <w:adjustRightInd/>
        <w:snapToGrid w:val="0"/>
        <w:spacing w:line="36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1、掉期外汇交易的两笔买卖金额相等方向相反。</w:t>
      </w:r>
    </w:p>
    <w:p>
      <w:pPr>
        <w:keepNext w:val="0"/>
        <w:keepLines w:val="0"/>
        <w:pageBreakBefore w:val="0"/>
        <w:widowControl w:val="0"/>
        <w:kinsoku/>
        <w:wordWrap/>
        <w:overflowPunct/>
        <w:topLinePunct w:val="0"/>
        <w:autoSpaceDE w:val="0"/>
        <w:autoSpaceDN w:val="0"/>
        <w:bidi w:val="0"/>
        <w:adjustRightInd/>
        <w:snapToGrid w:val="0"/>
        <w:spacing w:line="360" w:lineRule="exact"/>
        <w:ind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kinsoku/>
        <w:wordWrap/>
        <w:overflowPunct/>
        <w:topLinePunct w:val="0"/>
        <w:autoSpaceDE w:val="0"/>
        <w:autoSpaceDN w:val="0"/>
        <w:bidi w:val="0"/>
        <w:adjustRightInd/>
        <w:snapToGrid w:val="0"/>
        <w:spacing w:line="36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在国际贸易中常采用“收软付硬”的原则防范汇率风险。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3、购买力平价是指两国货币的购买力之比。</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4、跨国公司对外投资与资本输出都是为了追求利润的最大化。</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5、跨国公司发行债券投资可以提高其在国际市场上的知名度。</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6、东道国对跨国公司行使人员管辖权，母国也行使人员管辖权，会出现双重征税。</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kinsoku/>
        <w:wordWrap/>
        <w:overflowPunct/>
        <w:topLinePunct w:val="0"/>
        <w:bidi w:val="0"/>
        <w:adjustRightIn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7、直接报价法是以固定单位的本币兑换外币。</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8、跨国公司绩效评价可以监督公司目标的实现进程。 </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9、国际直接投资资本形式多样、投资风险相对较小。 </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跨国公司利用内部转移价格可以掩盖某一子公司的真实利润。</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、增进收益和控制风险是跨国公司财务的核心问题。</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 xml:space="preserve">套汇的结果是形成利率平价。 </w:t>
      </w:r>
    </w:p>
    <w:p>
      <w:pPr>
        <w:keepNext w:val="0"/>
        <w:keepLines w:val="0"/>
        <w:pageBreakBefore w:val="0"/>
        <w:widowControl w:val="0"/>
        <w:numPr>
          <w:ilvl w:val="0"/>
          <w:numId w:val="0"/>
        </w:numPr>
        <w:tabs>
          <w:tab w:val="left" w:pos="2835"/>
        </w:tabs>
        <w:kinsoku/>
        <w:wordWrap/>
        <w:overflowPunct/>
        <w:topLinePunct w:val="0"/>
        <w:bidi w:val="0"/>
        <w:adjustRightInd/>
        <w:spacing w:line="360" w:lineRule="exact"/>
        <w:ind w:left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答案：错</w:t>
      </w:r>
    </w:p>
    <w:p>
      <w:pPr>
        <w:keepNext w:val="0"/>
        <w:keepLines w:val="0"/>
        <w:pageBreakBefore w:val="0"/>
        <w:widowControl w:val="0"/>
        <w:numPr>
          <w:ilvl w:val="0"/>
          <w:numId w:val="0"/>
        </w:numPr>
        <w:kinsoku/>
        <w:wordWrap/>
        <w:overflowPunct/>
        <w:topLinePunct w:val="0"/>
        <w:bidi w:val="0"/>
        <w:adjustRightInd/>
        <w:spacing w:line="360" w:lineRule="exact"/>
        <w:ind w:left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跨国企业可采取多种货币计价，以防范外汇风险。</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4、100美元兑换647.49元人民币的报价方法属于间接报价法。</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 xml:space="preserve">购买力平价包括绝对和相对购买力平价两种方式。 </w:t>
      </w:r>
    </w:p>
    <w:p>
      <w:pPr>
        <w:keepNext w:val="0"/>
        <w:keepLines w:val="0"/>
        <w:pageBreakBefore w:val="0"/>
        <w:widowControl w:val="0"/>
        <w:numPr>
          <w:ilvl w:val="0"/>
          <w:numId w:val="0"/>
        </w:numPr>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答案：对</w:t>
      </w:r>
    </w:p>
    <w:p>
      <w:pPr>
        <w:keepNext w:val="0"/>
        <w:keepLines w:val="0"/>
        <w:pageBreakBefore w:val="0"/>
        <w:widowControl w:val="0"/>
        <w:numPr>
          <w:ilvl w:val="0"/>
          <w:numId w:val="1"/>
        </w:numPr>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跨国公司利用内部转移价格可以提高某一子公司的利润份额</w:t>
      </w:r>
    </w:p>
    <w:p>
      <w:pPr>
        <w:keepNext w:val="0"/>
        <w:keepLines w:val="0"/>
        <w:pageBreakBefore w:val="0"/>
        <w:widowControl w:val="0"/>
        <w:numPr>
          <w:ilvl w:val="0"/>
          <w:numId w:val="0"/>
        </w:numPr>
        <w:tabs>
          <w:tab w:val="left" w:pos="2835"/>
        </w:tabs>
        <w:kinsoku/>
        <w:wordWrap/>
        <w:overflowPunct/>
        <w:topLinePunct w:val="0"/>
        <w:bidi w:val="0"/>
        <w:adjustRightInd/>
        <w:spacing w:line="360" w:lineRule="exact"/>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numPr>
          <w:ilvl w:val="0"/>
          <w:numId w:val="1"/>
        </w:numPr>
        <w:tabs>
          <w:tab w:val="left" w:pos="2835"/>
        </w:tabs>
        <w:kinsoku/>
        <w:wordWrap/>
        <w:overflowPunct/>
        <w:topLinePunct w:val="0"/>
        <w:bidi w:val="0"/>
        <w:adjustRightInd/>
        <w:spacing w:line="360" w:lineRule="exact"/>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当市场利率上升后，会提高企业固定利率借款的成本。</w:t>
      </w:r>
    </w:p>
    <w:p>
      <w:pPr>
        <w:keepNext w:val="0"/>
        <w:keepLines w:val="0"/>
        <w:pageBreakBefore w:val="0"/>
        <w:widowControl w:val="0"/>
        <w:numPr>
          <w:ilvl w:val="0"/>
          <w:numId w:val="0"/>
        </w:numPr>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答案：对</w:t>
      </w:r>
    </w:p>
    <w:p>
      <w:pPr>
        <w:keepNext w:val="0"/>
        <w:keepLines w:val="0"/>
        <w:pageBreakBefore w:val="0"/>
        <w:widowControl w:val="0"/>
        <w:numPr>
          <w:ilvl w:val="0"/>
          <w:numId w:val="1"/>
        </w:numPr>
        <w:kinsoku/>
        <w:wordWrap/>
        <w:overflowPunct/>
        <w:topLinePunct w:val="0"/>
        <w:bidi w:val="0"/>
        <w:adjustRightInd/>
        <w:spacing w:line="360" w:lineRule="exact"/>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跨国公司实施绩效评价可以使公司的资源在全球范围内得到合理配置。 </w:t>
      </w:r>
    </w:p>
    <w:p>
      <w:pPr>
        <w:keepNext w:val="0"/>
        <w:keepLines w:val="0"/>
        <w:pageBreakBefore w:val="0"/>
        <w:widowControl w:val="0"/>
        <w:numPr>
          <w:ilvl w:val="0"/>
          <w:numId w:val="0"/>
        </w:numPr>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答</w:t>
      </w:r>
      <w:r>
        <w:rPr>
          <w:rFonts w:hint="eastAsia" w:ascii="宋体" w:hAnsi="宋体" w:eastAsia="宋体" w:cs="宋体"/>
          <w:color w:val="auto"/>
          <w:sz w:val="24"/>
          <w:szCs w:val="24"/>
          <w:lang w:val="en-US" w:eastAsia="zh-CN"/>
        </w:rPr>
        <w:t>案：对</w:t>
      </w:r>
    </w:p>
    <w:p>
      <w:pPr>
        <w:keepNext w:val="0"/>
        <w:keepLines w:val="0"/>
        <w:pageBreakBefore w:val="0"/>
        <w:widowControl w:val="0"/>
        <w:numPr>
          <w:ilvl w:val="0"/>
          <w:numId w:val="0"/>
        </w:numPr>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 xml:space="preserve">跨国直接投资收益的稳定性好于间接投资。  </w:t>
      </w:r>
    </w:p>
    <w:p>
      <w:pPr>
        <w:keepNext w:val="0"/>
        <w:keepLines w:val="0"/>
        <w:pageBreakBefore w:val="0"/>
        <w:widowControl w:val="0"/>
        <w:tabs>
          <w:tab w:val="left" w:pos="2835"/>
        </w:tabs>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答案：错</w:t>
      </w:r>
    </w:p>
    <w:p>
      <w:pPr>
        <w:keepNext w:val="0"/>
        <w:keepLines w:val="0"/>
        <w:pageBreakBefore w:val="0"/>
        <w:widowControl w:val="0"/>
        <w:kinsoku/>
        <w:wordWrap/>
        <w:overflowPunct/>
        <w:topLinePunct w:val="0"/>
        <w:bidi w:val="0"/>
        <w:adjustRightInd/>
        <w:spacing w:line="360" w:lineRule="exact"/>
        <w:textAlignment w:val="auto"/>
        <w:rPr>
          <w:rFonts w:hint="eastAsia" w:ascii="宋体" w:hAnsi="宋体" w:eastAsia="宋体" w:cs="宋体"/>
          <w:b/>
          <w:color w:val="auto"/>
          <w:sz w:val="24"/>
          <w:szCs w:val="24"/>
        </w:rPr>
      </w:pPr>
      <w:r>
        <w:rPr>
          <w:rFonts w:hint="eastAsia" w:ascii="宋体" w:hAnsi="宋体" w:eastAsia="宋体" w:cs="宋体"/>
          <w:b/>
          <w:sz w:val="24"/>
          <w:szCs w:val="24"/>
          <w:lang w:val="en-US" w:eastAsia="zh-CN"/>
        </w:rPr>
        <w:t>二</w:t>
      </w:r>
      <w:r>
        <w:rPr>
          <w:rFonts w:hint="eastAsia" w:ascii="宋体" w:hAnsi="宋体" w:eastAsia="宋体" w:cs="宋体"/>
          <w:b/>
          <w:sz w:val="24"/>
          <w:szCs w:val="24"/>
        </w:rPr>
        <w:t>、多</w:t>
      </w:r>
      <w:r>
        <w:rPr>
          <w:rFonts w:hint="eastAsia" w:ascii="宋体" w:hAnsi="宋体" w:eastAsia="宋体" w:cs="宋体"/>
          <w:b/>
          <w:color w:val="auto"/>
          <w:sz w:val="24"/>
          <w:szCs w:val="24"/>
        </w:rPr>
        <w:t>项选择题</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1、跨国公司财务的研究内容有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A、跨国理财环境分析               B、外汇风险管理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C、国际筹融资管理                 D、国际投资管理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2、外汇市场的参与者有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A、客户       B、外汇银行         C、外汇经纪商   D、各国中央银行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3、跨国公司对外投资具有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A、投资目的多元性                 B、资金来源多样性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C、投资风险多重性                 D、投资环境差异性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4、影响汇率变动的主要因素有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A、环境因素       B、经济因素     C、文化因素        D、政治因素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5、跨国公司财务管理的目标有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A、相关者利益最大化               B、经营风险最低化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C、国际税负最小化                 D、长期合并收益最大化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6、用流动—非流动法进行折算时，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A、现金用现行汇率                 B、固定资产用历史汇率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C、折旧用现行汇率                 D、销售成本用平均汇率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7、跨国公司绩效评价财务指标有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A、经营收入和利润                 B、投资报酬率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 市场占有率                    D、经济增加值</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8、国际投资环境包括下列的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A、自然环境       B、政治环境      C、经济环境     D、社会文化环境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9、跨国投资特别风险包括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A、汇率风险       B、政治风险      C、国家风险      D、利率风险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10、转移价格的功能有   （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A、降低关税                        B、避免外汇控制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C、提高信用地位                    D、避免外汇风险  </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答案：ABCD</w:t>
      </w:r>
    </w:p>
    <w:p>
      <w:pPr>
        <w:keepNext w:val="0"/>
        <w:keepLines w:val="0"/>
        <w:pageBreakBefore w:val="0"/>
        <w:widowControl w:val="0"/>
        <w:kinsoku/>
        <w:wordWrap/>
        <w:overflowPunct/>
        <w:topLinePunct w:val="0"/>
        <w:bidi w:val="0"/>
        <w:adjustRightIn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三</w:t>
      </w:r>
      <w:r>
        <w:rPr>
          <w:rFonts w:hint="eastAsia" w:ascii="宋体" w:hAnsi="宋体" w:eastAsia="宋体" w:cs="宋体"/>
          <w:b/>
          <w:color w:val="auto"/>
          <w:sz w:val="24"/>
          <w:szCs w:val="24"/>
        </w:rPr>
        <w:t>、计算题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1、某日，外汇银行收到客户委托，用280万港币买入50万加元。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当日外汇市场开盘时，外汇报价如下：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USD/CAD=1.3856/73，USD/HKD=7.7678/04</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（1）根据开盘汇率，是否达到客户要求？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（2）如果USD/CAD汇率保持不变，那么USD/HKD汇率变化到多少时，可以达到客户要求？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（3）如果USD/HKD汇率保持不变，那么USD/CAD汇率变化到多少时，可以达到客户要求？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USD/CAD=1.3856/73，USD/HKD=7.7678/04，交叉相除推算：CAD/HKD=5.5992/80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（1）客户要求买入加元，则银行卖出加元报价5.6080，无法达到客户要求。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（2）计算套算汇率USD/HKD=1.3856*5.6000=7.7594</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即USD/HKD卖出价小等于7.7594时，可满足客户要求。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（3）计算套算汇率USD/CAD=USD/HKD÷CAD/HKD=7.7704÷5.6000=1.3876</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即USD/CAD买入价大等于1.3876时，可满足客户要求。</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某公司有应付帐款125000瑞士法郎，6月初到期，公司决定在4月1日购买两单位6月份到期的瑞士法郎买权合约，执行价格为$0.66/SF1，买价是$0.0098/SF1。6月1日，该公司用对冲的方式结束合约，卖价是$0.0130/SF1。当日瑞士法郎兑美元的即期汇率为0.6710/SF1。</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（1）试问该公司购买125000瑞士法郎的实际美元成本为多少？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（2）如果在6月1日卖价为$0.0043/SF1，当日即期汇率为$0.6639/SF1，试问该公司购买125000瑞士法郎的实际美元成本为多少？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（1）现货市场成本=0.6710*62500*2=83875 $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期权市场收益=（0.0130-0.0098） *62500*2=400 $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实际成本=83875-400=83475 $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color w:val="auto"/>
          <w:sz w:val="24"/>
          <w:szCs w:val="24"/>
        </w:rPr>
        <w:t xml:space="preserve">（2）现货市场成本=0.6639*62500*2=82987.5 </w:t>
      </w:r>
      <w:r>
        <w:rPr>
          <w:rFonts w:hint="eastAsia" w:ascii="宋体" w:hAnsi="宋体" w:eastAsia="宋体" w:cs="宋体"/>
          <w:bCs/>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期权市场损失=（0.0098-0.0043）*62500*2=687.5 $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实际成本=82987.5+687.5=83675 $</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某美国公司组织员工将于四个月之后赴瑞士旅游，估计在8月1日须备妥旅游费用500000瑞士法郎，为避免瑞士法郎汇兑价值上涨，导致美元成本增加，公司决定购买4份9月份到期的瑞士法郎期货合约，买价是$0.6502/SF1，当日瑞士法郎兑美元即期汇率是$0.6471/SF1。在8月1日那天，9月份到期的瑞士法郎期货合约价格为$0.7055/SF1，当日瑞士法郎兑美元的即期汇率是$0.6998/SF1。</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（1）请问该公司购买500000SF实际所花费的美元成本为多少？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（2）如果在8月1日那天，9月份到期的SF期货合约价格为$0.6135/SF1，当日SF兑美元的即期汇率是$0.6074/SF1，试问该公司购买500000SF的实际美元成本为多少？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（1）现货市场成本=0.6998*125000*4=349900 $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期货市场收益=（0.7055-0.6502） *125000*4=27650 $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实际成本=349900-27650=322250 $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（2）现货市场成本=0.6074*125000*4=303700 $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期货市场损失=（0.6502-0.6135）*125000*4=18350 $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实际成本=303700+18350=322050 $</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p>
    <w:p>
      <w:pPr>
        <w:spacing w:line="360" w:lineRule="auto"/>
        <w:jc w:val="left"/>
        <w:outlineLvl w:val="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在19世纪下半叶，英镑含金量为1英镑含纯金7.32克，法郎含金量为1法郎含纯金0.29克，假设1克黄金在英法之间的运费为0.0052法国法郎，英镑兑法郎的汇率为英镑/法郎=26，从英国进口商品的法国进口商会采取何种方式支付货款？</w:t>
      </w:r>
      <w:r>
        <w:rPr>
          <w:rFonts w:hint="eastAsia" w:ascii="宋体" w:hAnsi="宋体" w:eastAsia="宋体" w:cs="宋体"/>
          <w:bCs/>
          <w:color w:val="auto"/>
          <w:sz w:val="24"/>
          <w:szCs w:val="24"/>
          <w:lang w:eastAsia="zh-CN"/>
        </w:rPr>
        <w:t>（特殊符号无法输入可以用文字表述）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铸币平价为：GBP/FHF=7.32/0.29=25.2414</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1克黄金在英法之间的运费为0.0052法国法郎，</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则1英镑黄金在英法之间的运费为7.32*0.0052=0.038064</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有两种可以选择的支付方式：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付款方式之一：付外汇(￡).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用$购￡,每英镑花费26法郎；</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付款方式之二:付黄金.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bCs/>
          <w:color w:val="auto"/>
          <w:sz w:val="24"/>
          <w:szCs w:val="24"/>
        </w:rPr>
        <w:t xml:space="preserve">    用$25.2795(含运费)购价值￡</w:t>
      </w:r>
      <w:r>
        <w:rPr>
          <w:rFonts w:hint="eastAsia" w:ascii="宋体" w:hAnsi="宋体" w:eastAsia="宋体" w:cs="宋体"/>
          <w:bCs/>
          <w:sz w:val="24"/>
          <w:szCs w:val="24"/>
        </w:rPr>
        <w:t>1的黄金。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所以：法国进口商选择支付黄金的方式。</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bidi w:val="0"/>
        <w:adjustRightInd/>
        <w:spacing w:line="360" w:lineRule="exact"/>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adjustRightIn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000000" w:themeColor="text1"/>
          <w:sz w:val="24"/>
          <w:szCs w:val="24"/>
          <w:lang w:val="en-US" w:eastAsia="zh-CN"/>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auto"/>
          <w:sz w:val="24"/>
          <w:szCs w:val="24"/>
        </w:rPr>
        <w:t>简答题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结合我国实际谈谈我国的持续顺差对我国造成的不利影响是什么？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（1）造成本币升值的压力，使本国出口商品价格上升，削弱了出口商品竞争力，贸易品生产规模萎缩。</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（2）如果货币当局在外汇市场上干预，易引起本国的通货膨胀。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（3）外汇储备过多地增加，造成资源的浪费和储备成本的上升</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引起国际摩擦。（4）如果国际收支顺差主要是由于出口过多造成的，会造成本国实际资源的减少，影响本国经济发展。</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2、运用合约进行会计风险保值有什么不足？</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运用合约规避会计风险存在着以下不足：</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受险净资产预期存在偏差。企业经营的不确定性实际上决定了大部分企业的预期资产负债表与实际资产负债表或多或少总会存在一些差异</w:t>
      </w:r>
      <w:r>
        <w:rPr>
          <w:rFonts w:hint="eastAsia" w:ascii="宋体" w:hAnsi="宋体" w:eastAsia="宋体" w:cs="宋体"/>
          <w:bCs/>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增加交易风险。会计风险影响的只是报告收益，并不对现金流产生影响。但远期合约的执行却直接影响企业的实际现金流。而且，会计折算损益是不能抵税的，而合约交易的收益却必须交税。从这个角度看，企业在控制会计风险的同时却增加了交易风险。</w:t>
      </w:r>
      <w:r>
        <w:rPr>
          <w:rFonts w:hint="eastAsia" w:ascii="宋体" w:hAnsi="宋体" w:eastAsia="宋体" w:cs="宋体"/>
          <w:bCs/>
          <w:color w:val="auto"/>
          <w:sz w:val="24"/>
          <w:szCs w:val="24"/>
        </w:rPr>
        <w:br w:type="textWrapping"/>
      </w:r>
      <w:r>
        <w:rPr>
          <w:rFonts w:hint="eastAsia" w:ascii="宋体" w:hAnsi="宋体" w:eastAsia="宋体" w:cs="宋体"/>
          <w:bCs/>
          <w:color w:val="auto"/>
          <w:sz w:val="24"/>
          <w:szCs w:val="24"/>
        </w:rPr>
        <w:t>（3）某些货币没有远期合约。部分国家的货币在市场上没有远期合约可以用来交易，因此，设在这些国家的子公司的报表就可能无法利用合约的方式进行套期保值。</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简述</w:t>
      </w:r>
      <w:r>
        <w:rPr>
          <w:rFonts w:hint="eastAsia" w:ascii="宋体" w:hAnsi="宋体" w:eastAsia="宋体" w:cs="宋体"/>
          <w:bCs/>
          <w:color w:val="auto"/>
          <w:sz w:val="24"/>
          <w:szCs w:val="24"/>
          <w:lang w:val="en-US" w:eastAsia="zh-CN"/>
        </w:rPr>
        <w:t>集权型现金管理的特点和优缺点。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xml:space="preserve"> 集中存储——针对“预防性现金需要量”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xml:space="preserve"> 跨国调度——针对“交易性现金需要量”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960" w:firstLineChars="40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①现金集中管理，提高公司的盈利能力。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②促使公司内部现金管理专业化，提高管理效率。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③公司总部现金管理人员可以发现各分部难以发现的问题和机会。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④有利于全球经营战略的设计与实施，并可有效地抑制局部最优化倾向。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⑤可以降低或分散风险。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⑥能在法律和行政约束范围以内，最大程度地利用转移定价机制，增强公司的盈利能力。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⑦能使跨国公司在全球范围内保持较高的弹性和应变能力。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缺点：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0" w:firstLineChars="4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①易引发跨国公司内部矛盾；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②可能会恶化跨国公司与某些银行的关系；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③体制的顺利实施，依赖于各东道国的外汇管理体制。</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206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简述购买力平价学说的主要内容。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人们之所以需要外国货币，是因为它在外国具有商品的购买力；因此，一国汇率水平和变化是由本国货币与外国货币的购买力对比来决定的。由于购买力实际上是一般物价水平的倒数，因此两国之间的货币汇率可由两国物价水平之比表示。这就是购买力平价说。从表现形式上来看，购买力平价说有两种定义，即绝对购买力平价（Absolute PPP）和相对购买力平价（Relative PPP）。</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、简述跨国公司置存现金的目的和现金管理的目标。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跨国公司置存现金的目的：</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 交易性需要：应付日常业务开支的需要；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 预防性需要：防止意外支出的需要；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 投机性需要：置存现金用于不寻常的购买机会，如从预期的有价证券价格变动中得到好处。</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现金管理的目标：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 以最适当的现金支持公司在全球范围内的生产经营活动；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 尽量避免通货膨胀和汇率变动所带来的损失；</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 从整体上提高现金调度、使用和储存的经济效益。</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B050"/>
          <w:sz w:val="24"/>
          <w:szCs w:val="24"/>
          <w:lang w:val="en-US" w:eastAsia="zh-CN"/>
        </w:rPr>
      </w:pPr>
    </w:p>
    <w:p>
      <w:pPr>
        <w:keepNext w:val="0"/>
        <w:keepLines w:val="0"/>
        <w:pageBreakBefore w:val="0"/>
        <w:widowControl w:val="0"/>
        <w:kinsoku/>
        <w:wordWrap/>
        <w:overflowPunct/>
        <w:topLinePunct w:val="0"/>
        <w:bidi w:val="0"/>
        <w:adjustRightInd/>
        <w:spacing w:line="36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五、</w:t>
      </w:r>
      <w:r>
        <w:rPr>
          <w:rFonts w:hint="eastAsia" w:ascii="宋体" w:hAnsi="宋体" w:eastAsia="宋体" w:cs="宋体"/>
          <w:b/>
          <w:color w:val="000000" w:themeColor="text1"/>
          <w:sz w:val="24"/>
          <w:szCs w:val="24"/>
          <w14:textFill>
            <w14:solidFill>
              <w14:schemeClr w14:val="tx1"/>
            </w14:solidFill>
          </w14:textFill>
        </w:rPr>
        <w:t>案例分析题</w:t>
      </w:r>
      <w:r>
        <w:rPr>
          <w:rFonts w:hint="eastAsia" w:ascii="宋体" w:hAnsi="宋体" w:eastAsia="宋体" w:cs="宋体"/>
          <w:b/>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耐克公司1994年的销售额已经达到38亿美元，产品销往81个国家。但是，耐克公司本身并不制造耐克球鞋。从耐克的最初发迹到以后的成长发展，耐克公司内部并没有控制球鞋行业的制造环节。事实上，耐克公司属下只有一家规模很小的制鞋厂。97%以上的耐克球鞋都采用在其他国家合同承包、加工返销的形式进行生产，其中三分之二是在韩国生产的，然后由耐克公司收购并由耐克公司独家在其他国家销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华工科技在成立之初主要从欧美国家进口激光器，在全球价值链中处于被动地位。通过培养和引进高端人才，加大研发投入，目前已实现了激光器的自主研发和产业化，在业内跃居全球前三，不仅为三星，微软等国际IT巨头提供相关产品及技术服务，一些产品还被应用于“嫦娥”系列月球探测器相关部件的制造加工，并将业务拓展到40多个国家和地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腾讯公司开发的微信，是中国移动互联网第一款真正走向世界的产品。诞生次年，就为超过140个国家和地区的用户提供了16种语言版本，且市场占有率在东南亚、中东等地排名第一。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要求:根据上面所提供的资料，从价值链理论出发，理解在当今世界经济一体化环境下的中国大多数中小企业为何也需要持有国际理财观。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从价值的形成过程来看，作业链同时也表现为价值链。“价值链”的各环节之间相互关联，相互影响。一个环节经营管理的好坏可以影响到其他环节的成本和效益，而一个环节能在多大程度上影响其他环节的价值活动，则与其在价值链上的位置有很大关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auto"/>
          <w:sz w:val="24"/>
          <w:szCs w:val="24"/>
        </w:rPr>
        <w:t>价值链各环节所要求的生产要素相差很大，不同</w:t>
      </w:r>
      <w:r>
        <w:rPr>
          <w:rFonts w:hint="eastAsia" w:ascii="宋体" w:hAnsi="宋体" w:eastAsia="宋体" w:cs="宋体"/>
          <w:bCs/>
          <w:color w:val="000000" w:themeColor="text1"/>
          <w:sz w:val="24"/>
          <w:szCs w:val="24"/>
          <w14:textFill>
            <w14:solidFill>
              <w14:schemeClr w14:val="tx1"/>
            </w14:solidFill>
          </w14:textFill>
        </w:rPr>
        <w:t>的生产经营环节需要不同的生产要素，而不同的国家要素结构又不同，因此考察一个国家的比较成本优势就应当以价值链的具体增值活动环节为分析单位。企业的竞争优势，是企业在价值链的某些特定的战略价值环节上的优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跨国公司是适应生产高度国际化的企业运作方法和组织形式。跨国公司在其国内外的价值增值活动紧密结合为一体，其“价值链”在跨国公司共同管理下具有国际性质。跨国公司从全球竞争环境出发，进行统筹规划，将价值链的某些环节保留在国内，而将另一些转移到国外。在同一资本支配下形成的价值链，也就是一个国际一体化的生产体系，其特征就在于它的价值增值活动在全球范围内分散进行，既体现了高度的国际化又可在同一资本的指挥下有机地结合成一个网络体系。因此，跨国公司作为适应生产高度国际化的企业运作方法和组织形式，其在经营活动方面具有国际化、多样化、内部化、全球战略等共同性特征。</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自1993年以来， 我国也有公司在美国发行ADR，包括在上海证券交易所上市的“轮胎橡胶”、“氨碱化工”、“二纺机”以及在深圳证券交易所上市的“深深房”，上述4家公司发行的ADR都属于一级ADRs。这类的ADR仅限于柜台市场交易且无筹资功能。而“中国华能国际”和“山东华统”则以三级ADRs公开募集并在纽约证交所上市。可以说，多数在美国上市的中概股都是采用美国存托凭证(ADR) 的方式。2015年6月， 伦教证交所人士表示，对沪港通和未来可能的深港通持非常正面积极的看法，对来来伦敦与A股市场可能的互联互通很感兴趣，但目前尚处于了解市场的阶段。伦交所方面目前正推动人民市GDR机制，让A股上市公司通过GDR的方式到伦教上市。所谓人民币GDR.是指将现有A股上市公司股票或即将发行的股票，通过境内银行托管、境外预托发行的方式在海外变易所上市及交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要求：请分析说明中国企业跨国上市存在的利弊。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auto"/>
          <w:sz w:val="24"/>
          <w:szCs w:val="24"/>
        </w:rPr>
        <w:t>跨国上市对公司有若干潜在的好</w:t>
      </w:r>
      <w:r>
        <w:rPr>
          <w:rFonts w:hint="eastAsia" w:ascii="宋体" w:hAnsi="宋体" w:eastAsia="宋体" w:cs="宋体"/>
          <w:bCs/>
          <w:color w:val="000000" w:themeColor="text1"/>
          <w:sz w:val="24"/>
          <w:szCs w:val="24"/>
          <w14:textFill>
            <w14:solidFill>
              <w14:schemeClr w14:val="tx1"/>
            </w14:solidFill>
          </w14:textFill>
        </w:rPr>
        <w:t>处：（1）有助于建立公司的国际形象，打响公司国际知名度；（2）跨国上市使得东道国的投资人可以在其本国股票市场买到异国公司的股票，这种便利性，使发行公司股票的需求增加，有助于股票价格的上涨及增进股票的流动性；（3）跨国上市使公司从不同国家的投资人那筹得资金，使得股权分散。这从管理阶层的角度来看是一件好事，因为据此可以降低敌意接管（hostile takeover）的可能性。</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B050"/>
          <w:sz w:val="24"/>
          <w:szCs w:val="24"/>
          <w:lang w:val="en-US" w:eastAsia="zh-CN"/>
        </w:rPr>
      </w:pPr>
    </w:p>
    <w:p>
      <w:pPr>
        <w:keepNext w:val="0"/>
        <w:keepLines w:val="0"/>
        <w:pageBreakBefore w:val="0"/>
        <w:widowControl w:val="0"/>
        <w:kinsoku/>
        <w:wordWrap/>
        <w:overflowPunct/>
        <w:topLinePunct w:val="0"/>
        <w:bidi w:val="0"/>
        <w:adjustRightInd/>
        <w:spacing w:line="360" w:lineRule="exact"/>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六、论述题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如何正确理解巴塞尔委员会的《银行业有效监管核心原则》的基本特点？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90年代中期以来，由于国际银行业的经营环境发生了变化，以金融衍生产品为主的市场交易风险屡屡发生，致使国际银行业中银行倒闭或巨额亏损的重大事件层出不穷。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中国银行业在国际银行的监管方面尚缺乏足够的经验，但是在国内银行的监管方面已经</w:t>
      </w:r>
      <w:bookmarkStart w:id="0" w:name="_GoBack"/>
      <w:bookmarkEnd w:id="0"/>
      <w:r>
        <w:rPr>
          <w:rFonts w:hint="eastAsia" w:ascii="宋体" w:hAnsi="宋体" w:eastAsia="宋体" w:cs="宋体"/>
          <w:bCs/>
          <w:color w:val="auto"/>
          <w:sz w:val="24"/>
          <w:szCs w:val="24"/>
        </w:rPr>
        <w:t>积累了一定的经验，所以在短期内先采用自身已有一定经验的监管方式对国际银行进行监管是一种务实而可行的做法。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auto"/>
          <w:sz w:val="24"/>
          <w:szCs w:val="24"/>
        </w:rPr>
        <w:t>1997年巴塞尔委员会</w:t>
      </w:r>
      <w:r>
        <w:rPr>
          <w:rFonts w:hint="eastAsia" w:ascii="宋体" w:hAnsi="宋体" w:eastAsia="宋体" w:cs="宋体"/>
          <w:bCs/>
          <w:color w:val="000000" w:themeColor="text1"/>
          <w:sz w:val="24"/>
          <w:szCs w:val="24"/>
          <w14:textFill>
            <w14:solidFill>
              <w14:schemeClr w14:val="tx1"/>
            </w14:solidFill>
          </w14:textFill>
        </w:rPr>
        <w:t>公布的《银行业有效监管核心原则》的基本内容包括：银行业有效监管的前提；获准经营的范围和结构；审慎管理和要求；银行业持续监管的方法；信息要求；监管人员的正当权限以及跨国银行业务等方面。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该原则的主要特点可概括为以下五个方面：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（1）原则的核心是对银行业进行全方位的风险监控；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（2）强调建立银行业监管的有效系统；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（3）注重建立银行业自身的风险防范约束机制；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（4）建立对银行业持续监管的方式；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（5）对跨国银行业务要求实施全球统一监管。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Cs/>
          <w:color w:val="00B050"/>
          <w:sz w:val="24"/>
          <w:szCs w:val="24"/>
        </w:rPr>
      </w:pPr>
      <w:r>
        <w:rPr>
          <w:rFonts w:hint="eastAsia" w:ascii="宋体" w:hAnsi="宋体" w:eastAsia="宋体" w:cs="宋体"/>
          <w:bCs/>
          <w:color w:val="000000" w:themeColor="text1"/>
          <w:sz w:val="24"/>
          <w:szCs w:val="24"/>
          <w14:textFill>
            <w14:solidFill>
              <w14:schemeClr w14:val="tx1"/>
            </w14:solidFill>
          </w14:textFill>
        </w:rPr>
        <w:t xml:space="preserve">这项文件无疑是20世纪国际银行业监管的最重要文件之一，它必将进一步推动国际银行业经营与监管方面的变革，从而对国际银行业产生重大深远的影响。 </w:t>
      </w:r>
      <w:r>
        <w:rPr>
          <w:rFonts w:hint="eastAsia" w:ascii="宋体" w:hAnsi="宋体" w:eastAsia="宋体" w:cs="宋体"/>
          <w:bCs/>
          <w:color w:val="00B050"/>
          <w:sz w:val="24"/>
          <w:szCs w:val="24"/>
        </w:rPr>
        <w:t xml:space="preserve">   </w:t>
      </w:r>
    </w:p>
    <w:p>
      <w:pPr>
        <w:keepNext w:val="0"/>
        <w:keepLines w:val="0"/>
        <w:pageBreakBefore w:val="0"/>
        <w:widowControl w:val="0"/>
        <w:kinsoku/>
        <w:wordWrap/>
        <w:overflowPunct/>
        <w:topLinePunct w:val="0"/>
        <w:bidi w:val="0"/>
        <w:adjustRightInd/>
        <w:spacing w:line="360" w:lineRule="exact"/>
        <w:jc w:val="center"/>
        <w:textAlignment w:val="auto"/>
        <w:rPr>
          <w:rFonts w:hint="eastAsia" w:ascii="宋体" w:hAnsi="宋体" w:eastAsia="宋体" w:cs="宋体"/>
          <w:bCs/>
          <w:color w:val="00B050"/>
          <w:sz w:val="24"/>
          <w:szCs w:val="24"/>
        </w:rPr>
      </w:pPr>
      <w:r>
        <w:rPr>
          <w:rFonts w:hint="eastAsia" w:ascii="宋体" w:hAnsi="宋体" w:eastAsia="宋体" w:cs="宋体"/>
          <w:b/>
          <w:bCs/>
          <w:color w:val="FF0000"/>
          <w:sz w:val="24"/>
          <w:szCs w:val="24"/>
        </w:rPr>
        <w:t>（温馨提示：照抄答案，没有加入自己的答案，一律0分。）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5E72"/>
    <w:multiLevelType w:val="singleLevel"/>
    <w:tmpl w:val="52EA5E72"/>
    <w:lvl w:ilvl="0" w:tentative="0">
      <w:start w:val="16"/>
      <w:numFmt w:val="decimal"/>
      <w:suff w:val="nothing"/>
      <w:lvlText w:val="%1、"/>
      <w:lvlJc w:val="left"/>
    </w:lvl>
  </w:abstractNum>
  <w:abstractNum w:abstractNumId="1">
    <w:nsid w:val="743F463C"/>
    <w:multiLevelType w:val="singleLevel"/>
    <w:tmpl w:val="743F463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742CF"/>
    <w:rsid w:val="003F2DED"/>
    <w:rsid w:val="007E7264"/>
    <w:rsid w:val="02FB082F"/>
    <w:rsid w:val="03974729"/>
    <w:rsid w:val="07DD00EC"/>
    <w:rsid w:val="0A0F0346"/>
    <w:rsid w:val="0C0C16F2"/>
    <w:rsid w:val="0CFD2B08"/>
    <w:rsid w:val="0DA2653E"/>
    <w:rsid w:val="0F6C4B6A"/>
    <w:rsid w:val="148E26F8"/>
    <w:rsid w:val="14AE1634"/>
    <w:rsid w:val="14EE3340"/>
    <w:rsid w:val="179F3927"/>
    <w:rsid w:val="186209BA"/>
    <w:rsid w:val="18D656CD"/>
    <w:rsid w:val="19BE05CD"/>
    <w:rsid w:val="1B52020D"/>
    <w:rsid w:val="1C057C9D"/>
    <w:rsid w:val="1C8D2295"/>
    <w:rsid w:val="1CCF28D3"/>
    <w:rsid w:val="1F372B1C"/>
    <w:rsid w:val="20FC7E46"/>
    <w:rsid w:val="2276443F"/>
    <w:rsid w:val="235956F4"/>
    <w:rsid w:val="23C72AE7"/>
    <w:rsid w:val="24506C17"/>
    <w:rsid w:val="26676E48"/>
    <w:rsid w:val="26B17C1C"/>
    <w:rsid w:val="29B84595"/>
    <w:rsid w:val="2A817E3D"/>
    <w:rsid w:val="2C756125"/>
    <w:rsid w:val="30123CBA"/>
    <w:rsid w:val="31370B83"/>
    <w:rsid w:val="315B7BB7"/>
    <w:rsid w:val="322F0FF1"/>
    <w:rsid w:val="33065975"/>
    <w:rsid w:val="3725017D"/>
    <w:rsid w:val="37993A1C"/>
    <w:rsid w:val="38173DBC"/>
    <w:rsid w:val="39D12302"/>
    <w:rsid w:val="3C167D85"/>
    <w:rsid w:val="3ECB1CB2"/>
    <w:rsid w:val="3F3F61BE"/>
    <w:rsid w:val="40704CAB"/>
    <w:rsid w:val="41120ABB"/>
    <w:rsid w:val="42FD0A33"/>
    <w:rsid w:val="43502EF9"/>
    <w:rsid w:val="443450AF"/>
    <w:rsid w:val="48B50A85"/>
    <w:rsid w:val="4DFD4926"/>
    <w:rsid w:val="4ED3709B"/>
    <w:rsid w:val="4F675E23"/>
    <w:rsid w:val="4FB46EF7"/>
    <w:rsid w:val="4FD83777"/>
    <w:rsid w:val="50F375DA"/>
    <w:rsid w:val="51CF0C2F"/>
    <w:rsid w:val="51EE4B83"/>
    <w:rsid w:val="52124AC6"/>
    <w:rsid w:val="62775E21"/>
    <w:rsid w:val="651F0F3A"/>
    <w:rsid w:val="65F00FD1"/>
    <w:rsid w:val="66654518"/>
    <w:rsid w:val="678C2BCC"/>
    <w:rsid w:val="684504A5"/>
    <w:rsid w:val="68ED016D"/>
    <w:rsid w:val="6B7605B9"/>
    <w:rsid w:val="6C6434DB"/>
    <w:rsid w:val="6F7B0F5A"/>
    <w:rsid w:val="70934D7A"/>
    <w:rsid w:val="70C742CF"/>
    <w:rsid w:val="714A0E79"/>
    <w:rsid w:val="738134D1"/>
    <w:rsid w:val="74365DCE"/>
    <w:rsid w:val="78206479"/>
    <w:rsid w:val="7AEC0637"/>
    <w:rsid w:val="7B266309"/>
    <w:rsid w:val="7E5E6A7A"/>
    <w:rsid w:val="7E9F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2022-06-18T07:22:00Z</dcterms:created>
  <dc:creator>wpsidxixi</dc:creator>
  <cp:lastModifiedBy>wpsidxixi</cp:lastModifiedBy>
  <dcterms:modified xsi:type="dcterms:W3CDTF">2022-06-22T14:46:47Z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